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20 128 vom 21. September 2020</w:t>
      </w:r>
    </w:p>
    <w:p>
      <w:r>
        <w:t>VS Kantonsgericht, 2020-09-21, DE</w:t>
      </w:r>
    </w:p>
    <w:p>
      <w:r>
        <w:rPr>
          <w:b/>
        </w:rPr>
        <w:t xml:space="preserve">Quelle: </w:t>
      </w:r>
      <w:r>
        <w:t>https://mcp.opencaselaw.ch/entscheid/vs_gerichte_P3 20 128</w:t>
      </w:r>
    </w:p>
    <w:p>
      <w:r>
        <w:t>FR: VS_GERICHTE P3 20 128 du 21 septembre 2020</w:t>
      </w:r>
    </w:p>
    <w:p>
      <w:r>
        <w:t>IT: VS_GERICHTE P3 20 128 del 21 settembre 2020</w:t>
      </w:r>
    </w:p>
    <w:p>
      <w:pPr>
        <w:pStyle w:val="Heading2"/>
      </w:pPr>
      <w:r>
        <w:t>Regeste</w:t>
      </w:r>
    </w:p>
    <w:p>
      <w:r>
        <w:t>222 RVJ / ZWR 2021 Strafrecht - Friedensbürgschaft - KGE (Einzelrichter der Straf- kammer) vom 21. September 2020, A. und weitere c. X und Staats- anwaltschaft - TCV P3 20 128 Friedensbürgschaft (Art. 66 StGB) - Die Friedensbürgschaft kann entweder im Endurteil, im selbstständigen Verfahren nach Art. 372 StPO oder als Ersatzmassnahme nach Art. 237 StPO angeordnet werden (E. 3). - Stellt die Privatklägerschaft während des Strafverfahrens einen Antrag auf sofortige Anordnung einer Friedensbürgschaft, hat die Staatsanwaltschaft die Sache in der Regel dem Zwangsmassnahmengericht vorzulegen (E. 4). Cautionnement préventif (art. 66 CP) - Le cautionnement préventif peut être ordonné tant dans un jugement final que dans une procédure indépendante au sens de l’art. 372 CPP ou à titre de mesure de substitution au sens de l’art. 237 CPP (consid. 3). - Lorsque la partie plaignante requiert au cours de la procédure pénale qu’un cau- tionnement préventif soit immédiatement ordonné, le ministère public doit en principe</w:t>
      </w:r>
    </w:p>
    <w:p>
      <w:pPr>
        <w:pStyle w:val="Heading2"/>
      </w:pPr>
      <w:r>
        <w:t>Volltext</w:t>
      </w:r>
    </w:p>
    <w:p>
      <w:r>
        <w:t>222 RVJ / ZWR 2021 Strafrecht - Friedensbürgschaft - KGE (Einzelrichter der Straf- kammer) vom 21. September 2020, A. und weitere c. X und Staats- anwaltschaft - TCV P3 20 128 Friedensbürgschaft (Art. 66 StGB) - Die Friedensbürgschaft kann entweder im Endurteil, im selbstständigen Verfahren nach Art. 372 StPO oder als Ersatzmassnahme nach Art. 237 StPO angeordnet werden (E. 3). - Stellt die Privatklägerschaft während des Strafverfahrens einen Antrag auf sofortige Anordnung einer Friedensbürgschaft, hat die Staatsanwaltschaft die Sache in der Regel dem Zwangsmassnahmengericht vorzulegen (E. 4). Cautionnement préventif (art. 66 CP) - Le cautionnement préventif peut être ordonné tant dans un jugement final que dans une procédure indépendante au sens de l’art. 372 CPP ou à titre de mesure de substitution au sens de l’art. 237 CPP (consid. 3). - Lorsque la partie plaignante requiert au cours de la procédure pénale qu’un cau- tionnement préventif soit immédiatement ordonné, le ministère public doit en principe soumettre cette demande au tribunal des mesures de contrainte (consid. 4).</w:t>
      </w:r>
    </w:p>
    <w:p>
      <w:r>
        <w:t>Aus den Erwägungen</w:t>
      </w:r>
    </w:p>
    <w:p>
      <w:r>
        <w:t>3. Die Friedensbürgschaft nach Art. 66 StGB kann angeordnet werden, wenn eine Person wegen eines Verbrechens oder Vergehens verurteilt wird oder wenn eine Person mit einem Verbrechen oder Vergehen droht und ernsthaft anzunehmen ist, dass sie die Tat wiederholt bzw. ausführt. Sie setzt einen entsprechenden Antrag der betroffenen Person voraus. Die Anordnung der Friedensbürgschaft erfolgt entweder mit dem Endurteil im Hauptverfahren oder, wenn kein Strafverfahren anhängig ist, im selbstständigen Verfahren nach Art. 372 StPO. Dane- ben kann die Friedensbürgschaft auch während der Dauer eines Straf- verfahrens angeordnet werden, namentlich als Ersatzmassnahme nach Art. 237 StPO, sollte sich die Untersuchungshaft wegen Ausführungs- oder Wiederholungsgefahr als unverhältnismässig erweisen (Jeanneret, in: Bonet/Dupont [Hrsg.], Les mesures provisionnelles en procédures civile, pénale et administrative, 2015, S. 97 ff.). Vorliegend ist die letztere Variante einschlägig. Eine Minderheit der Lehre will das selbstständige Massnahmever- fahren auch während laufendem Strafverfahren ermöglichen, falls nicht zeitnah ein Endentscheid zu erwarten ist (Schwarzenegger, in:</w:t>
      </w:r>
    </w:p>
    <w:p>
      <w:r>
        <w:t>RVJ / ZWR 2021 223 Donatsch/Hansjakob/Lieber [Hrsg.], Kommentar zur Schweizerischen Strafprozessordnung (StPO), 2. A., 2014, N. 4 zu Art. 372 StPO). Die Mehrheit der Lehre hält jedoch die Art. 372 f. StPO im Falle einer Friedensbürgschaft während laufendem Verfahren für nicht einschlägig und verweist insofern ausschliesslich auf die Ersatzmassnahmen nach Art. 237 StPO (Jeanneret/Thalmann, in: Kuhn/Jeanneret [Hrsg.], Com- mentaire romand, Code de procédure pénale suisse, 2. A., 2019, N. 13, 15 und 19 zu Art. 372 StPO; Schmid/Jositsch, Schweizerisches Straf- gesetzbuch, Praxiskommentar, 3. A., 2018, N. 1 f. zu Art. 372 StPO; Moreillon/Parein-Reymon, CPP, Code de procédure pénale, 2. A., 2016, N. 6 zu Art. 372 StPO; Kissling, Basler Kommentar, 2. A., 2014, N. 5 f. zu Art. 372 StPO). Das Kantonsgericht schliesst sich der letzte- ren Meinung an. Art. 373 StPO ist damit vorliegend nicht einschlägig. 4. Auch betreffend der Frage, ob eine Friedensbürgschaft als Ersatz- massnahme anzuordnen ist, ist der besonderen Verfahrenskonstella- tion, namentlich bei einem entsprechenden Antrag der Privatkläger- schaft, Rechnung zu tragen (Jeanneret, a.a.O., S. 107). Der Staats- anwaltschaft ist zwar grundsätzlich zuzustimmen, dass der Entscheid, welche Zwangsmassnahmen zu welchem Zeitpunkt angeordnet oder beantragt werden sollen, ihr obliegt, solange sie die Verfahrensleitung innehat. Stellt jedoch die Privatklägerschaft den im materiellen Recht vorgesehenen Antrag auf eine Friedensbürgschaft und richtet sich dieser nicht (nur) auf den Endentscheid, so kann die Staatsanwaltschaft die betreffende Antragstellung an das Zwangsmassnahmengericht nur dann ablehnen, wenn eine entsprechende Anordnung die Strafunter- suchung negativ beeinflussen könnte oder von vornherein aussichtslos ist oder aber rechtsmissbräuchlich erhoben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